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48" w:rsidRPr="0012215D" w:rsidRDefault="009A3348" w:rsidP="009A3348">
      <w:pPr>
        <w:shd w:val="clear" w:color="auto" w:fill="FFFFFF"/>
        <w:spacing w:after="72" w:line="240" w:lineRule="auto"/>
        <w:outlineLvl w:val="0"/>
        <w:rPr>
          <w:rFonts w:ascii="Georgia" w:eastAsia="Times New Roman" w:hAnsi="Georgia" w:cs="Times New Roman"/>
          <w:b/>
          <w:bCs/>
          <w:noProof/>
          <w:color w:val="191919"/>
          <w:kern w:val="36"/>
          <w:sz w:val="44"/>
          <w:szCs w:val="44"/>
        </w:rPr>
      </w:pPr>
      <w:permStart w:id="0" w:edGrp="everyone"/>
      <w:permEnd w:id="0"/>
      <w:r w:rsidRPr="0012215D">
        <w:rPr>
          <w:rFonts w:ascii="Georgia" w:eastAsia="Times New Roman" w:hAnsi="Georgia" w:cs="Times New Roman"/>
          <w:b/>
          <w:bCs/>
          <w:noProof/>
          <w:color w:val="191919"/>
          <w:kern w:val="36"/>
          <w:sz w:val="44"/>
          <w:szCs w:val="44"/>
        </w:rPr>
        <w:t>Fighting HIV with Stem Cells and Cutting-edge Genetics</w:t>
      </w:r>
    </w:p>
    <w:p w:rsidR="003A3B71" w:rsidRPr="0012215D" w:rsidRDefault="003A3B71">
      <w:pPr>
        <w:rPr>
          <w:noProof/>
        </w:rPr>
      </w:pP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“Berlin Patient” Timothy Brown was cured of HIV after he received stem cells from a patient naturally immune to the disease. His story inspired two companies to try and recreate that natural immunity in HIV patients using stem cells and two (then-new) gene-editing techniques.</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The approach has proven so popular that long before conclusive clinical trial results are due in, a third team has entered the fray: Harvard University. Harvard is using stem cells and the hottest gene-editing newcomer of all: CRISPR/Cas9.</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Researchers behind all three approaches are highly confident in their respective approaches, they told </w:t>
      </w:r>
      <w:r w:rsidRPr="0012215D">
        <w:rPr>
          <w:rStyle w:val="Emphasis"/>
          <w:rFonts w:ascii="Verdana" w:hAnsi="Verdana"/>
          <w:noProof/>
          <w:color w:val="191919"/>
          <w:sz w:val="20"/>
          <w:szCs w:val="20"/>
        </w:rPr>
        <w:t>Bioscience Technology</w:t>
      </w:r>
      <w:r w:rsidRPr="0012215D">
        <w:rPr>
          <w:rFonts w:ascii="Verdana" w:hAnsi="Verdana"/>
          <w:noProof/>
          <w:color w:val="191919"/>
          <w:sz w:val="20"/>
          <w:szCs w:val="20"/>
        </w:rPr>
        <w:t> this week. The clear impression each left: few stones will remain unturned in the high-tech quest to replicate the simple— if stunning— success of the Berlin Patient.</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Style w:val="Strong"/>
          <w:rFonts w:ascii="Verdana" w:hAnsi="Verdana"/>
          <w:noProof/>
          <w:color w:val="191919"/>
          <w:sz w:val="20"/>
          <w:szCs w:val="20"/>
        </w:rPr>
        <w:t>The ‘Berlin Patient’</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In 2007, HIV patient Timothy Brown received a blood stem cell transplant to treat his co-morbidity: a leukemia. His doctor, the University of Berlin’s Gero Huetter, knew that some individuals are immune to HIV by virtue of a genetic mutation in the CCR5 gene that controls a receptor, on the surface of CD4 T cells, by which HIV enters. When both copies of the CCR5 gene are naturally disabled, HIV cannot enter.</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Huetter searched databases until he found cells that were an immunologic match for Brown’s— and possessed that dual mutation. Shortly after receiving the cells, Brown was free of detectable viral load.</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He has been HIV-free ever since.</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Style w:val="Strong"/>
          <w:rFonts w:ascii="Verdana" w:hAnsi="Verdana"/>
          <w:noProof/>
          <w:color w:val="191919"/>
          <w:sz w:val="20"/>
          <w:szCs w:val="20"/>
        </w:rPr>
        <w:t>Sangamo</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Sangamo was the first company to try to replicate that success with technology. Among other things, the company launched a clinical trial in 2009, led by the University of Pennsylvania’s Carl June, which involved removing HIV patients’ CD4 T cells. The team then disabled both CCR5 gene alleles with the latest gene editing technology at the time, Zinc finger nucleases (ZFNs). The cells were returned to the patients.</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lastRenderedPageBreak/>
        <w:t>The </w:t>
      </w:r>
      <w:hyperlink r:id="rId4" w:anchor="t=articleMethods" w:history="1">
        <w:r w:rsidRPr="0012215D">
          <w:rPr>
            <w:rStyle w:val="Hyperlink"/>
            <w:rFonts w:ascii="Verdana" w:hAnsi="Verdana"/>
            <w:noProof/>
            <w:color w:val="BF3B41"/>
            <w:sz w:val="20"/>
            <w:szCs w:val="20"/>
          </w:rPr>
          <w:t>first report</w:t>
        </w:r>
      </w:hyperlink>
      <w:r w:rsidRPr="0012215D">
        <w:rPr>
          <w:rFonts w:ascii="Verdana" w:hAnsi="Verdana"/>
          <w:noProof/>
          <w:color w:val="191919"/>
          <w:sz w:val="20"/>
          <w:szCs w:val="20"/>
        </w:rPr>
        <w:t> on that trial, published in the </w:t>
      </w:r>
      <w:r w:rsidRPr="0012215D">
        <w:rPr>
          <w:rStyle w:val="Emphasis"/>
          <w:rFonts w:ascii="Verdana" w:hAnsi="Verdana"/>
          <w:noProof/>
          <w:color w:val="191919"/>
          <w:sz w:val="20"/>
          <w:szCs w:val="20"/>
        </w:rPr>
        <w:t>New England Journal of Medicine</w:t>
      </w:r>
      <w:r w:rsidRPr="0012215D">
        <w:rPr>
          <w:rFonts w:ascii="Verdana" w:hAnsi="Verdana"/>
          <w:noProof/>
          <w:color w:val="191919"/>
          <w:sz w:val="20"/>
          <w:szCs w:val="20"/>
        </w:rPr>
        <w:t> this March, found the approach to be safe. The edited T cells were well tolerated. It was a Phase 1 trial not designed to calculate efficacy, but it was noted there was a decline in HIV levels in several patients who were taken off other therapies. In those patients, the modified cells seemed to possess a survival advantage.</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One patient even achieved undetectable viral loads. That patient, it was later discovered, naturally possessed one mutated CCR5 gene allele. “Successful clinical application will most likely depend on bi-allelic knockout,” the report said.</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The modified cells possessed a mean half-life in the vascular compartment of 48 weeks. This was natural, since T cells are not permanent residents of the body.</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Style w:val="Strong"/>
          <w:rFonts w:ascii="Verdana" w:hAnsi="Verdana"/>
          <w:noProof/>
          <w:color w:val="191919"/>
          <w:sz w:val="20"/>
          <w:szCs w:val="20"/>
        </w:rPr>
        <w:t>Calimmune</w:t>
      </w:r>
    </w:p>
    <w:p w:rsidR="009A3348" w:rsidRPr="0012215D" w:rsidRDefault="009A3348" w:rsidP="009A3348">
      <w:pPr>
        <w:pStyle w:val="NormalWeb"/>
        <w:shd w:val="clear" w:color="auto" w:fill="FFFFFF"/>
        <w:spacing w:before="0" w:beforeAutospacing="0" w:after="0" w:afterAutospacing="0" w:line="293" w:lineRule="atLeast"/>
        <w:rPr>
          <w:rStyle w:val="image-alt-caption"/>
          <w:rFonts w:ascii="Georgia" w:hAnsi="Georgia"/>
          <w:i/>
          <w:iCs/>
          <w:noProof/>
          <w:color w:val="191919"/>
          <w:sz w:val="17"/>
          <w:szCs w:val="17"/>
        </w:rPr>
      </w:pPr>
      <w:r w:rsidRPr="0012215D">
        <w:rPr>
          <w:rFonts w:ascii="Verdana" w:hAnsi="Verdana"/>
          <w:noProof/>
          <w:color w:val="191919"/>
          <w:sz w:val="20"/>
          <w:szCs w:val="20"/>
        </w:rPr>
        <w:drawing>
          <wp:inline distT="0" distB="0" distL="0" distR="0">
            <wp:extent cx="4762500" cy="3571875"/>
            <wp:effectExtent l="19050" t="0" r="0" b="0"/>
            <wp:docPr id="1" name="Picture 1" descr="HIV - 3d rendered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V - 3d rendered illustration"/>
                    <pic:cNvPicPr>
                      <a:picLocks noChangeAspect="1" noChangeArrowheads="1"/>
                    </pic:cNvPicPr>
                  </pic:nvPicPr>
                  <pic:blipFill>
                    <a:blip r:embed="rId5"/>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9A3348" w:rsidRPr="0012215D" w:rsidRDefault="009A3348" w:rsidP="009A3348">
      <w:pPr>
        <w:pStyle w:val="NormalWeb"/>
        <w:shd w:val="clear" w:color="auto" w:fill="FFFFFF"/>
        <w:spacing w:before="0" w:beforeAutospacing="0" w:after="0" w:afterAutospacing="0" w:line="293" w:lineRule="atLeast"/>
        <w:rPr>
          <w:rStyle w:val="image-alt-caption"/>
          <w:rFonts w:ascii="Georgia" w:hAnsi="Georgia"/>
          <w:i/>
          <w:iCs/>
          <w:noProof/>
          <w:color w:val="191919"/>
          <w:sz w:val="17"/>
          <w:szCs w:val="17"/>
        </w:rPr>
      </w:pPr>
      <w:r w:rsidRPr="0012215D">
        <w:rPr>
          <w:rStyle w:val="image-alt-caption"/>
          <w:rFonts w:ascii="Georgia" w:hAnsi="Georgia"/>
          <w:i/>
          <w:iCs/>
          <w:noProof/>
          <w:color w:val="191919"/>
          <w:sz w:val="17"/>
          <w:szCs w:val="17"/>
        </w:rPr>
        <w:t>HIV - 3d rendered illustration</w:t>
      </w:r>
    </w:p>
    <w:p w:rsidR="009A3348" w:rsidRPr="0012215D" w:rsidRDefault="009A3348" w:rsidP="009A3348">
      <w:pPr>
        <w:pStyle w:val="NormalWeb"/>
        <w:shd w:val="clear" w:color="auto" w:fill="FFFFFF"/>
        <w:spacing w:before="0" w:beforeAutospacing="0" w:after="0" w:afterAutospacing="0" w:line="293" w:lineRule="atLeast"/>
        <w:rPr>
          <w:rStyle w:val="image-alt-caption"/>
          <w:rFonts w:ascii="Georgia" w:hAnsi="Georgia"/>
          <w:i/>
          <w:iCs/>
          <w:noProof/>
          <w:color w:val="191919"/>
          <w:sz w:val="17"/>
          <w:szCs w:val="17"/>
        </w:rPr>
      </w:pPr>
    </w:p>
    <w:p w:rsidR="009A3348" w:rsidRPr="0012215D" w:rsidRDefault="009A3348" w:rsidP="009A3348">
      <w:pPr>
        <w:pStyle w:val="NormalWeb"/>
        <w:shd w:val="clear" w:color="auto" w:fill="FFFFFF"/>
        <w:spacing w:before="0" w:beforeAutospacing="0" w:after="0" w:afterAutospacing="0" w:line="293" w:lineRule="atLeast"/>
        <w:rPr>
          <w:rFonts w:ascii="Verdana" w:hAnsi="Verdana"/>
          <w:noProof/>
          <w:color w:val="191919"/>
          <w:sz w:val="20"/>
          <w:szCs w:val="20"/>
        </w:rPr>
      </w:pPr>
      <w:r w:rsidRPr="0012215D">
        <w:rPr>
          <w:rFonts w:ascii="Verdana" w:hAnsi="Verdana"/>
          <w:noProof/>
          <w:color w:val="191919"/>
          <w:sz w:val="20"/>
          <w:szCs w:val="20"/>
        </w:rPr>
        <w:t>But hematopoietic (blood) stem cells (HSCs) </w:t>
      </w:r>
      <w:r w:rsidRPr="0012215D">
        <w:rPr>
          <w:rStyle w:val="Emphasis"/>
          <w:rFonts w:ascii="Verdana" w:hAnsi="Verdana"/>
          <w:noProof/>
          <w:color w:val="191919"/>
          <w:sz w:val="20"/>
          <w:szCs w:val="20"/>
        </w:rPr>
        <w:t>are </w:t>
      </w:r>
      <w:r w:rsidRPr="0012215D">
        <w:rPr>
          <w:rFonts w:ascii="Verdana" w:hAnsi="Verdana"/>
          <w:noProof/>
          <w:color w:val="191919"/>
          <w:sz w:val="20"/>
          <w:szCs w:val="20"/>
        </w:rPr>
        <w:t>permanent residents. Calimmune, led by California Technology Institute Nobel Prize Winner David Baltimore and UCLA AIDS Institute Director Irvin Chen, decided to take advantage of that fact.</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 xml:space="preserve">In 2013, the team launched a clinical trial in which HIV patients were given back both their own T cells, and longer-lived HSCs, both with the CCR5 gene disabled using hairpin RNAs delivered by a lentivirus. The idea: to provide patients with permanent factories of cells </w:t>
      </w:r>
      <w:r w:rsidRPr="0012215D">
        <w:rPr>
          <w:rFonts w:ascii="Verdana" w:hAnsi="Verdana"/>
          <w:noProof/>
          <w:color w:val="191919"/>
          <w:sz w:val="20"/>
          <w:szCs w:val="20"/>
        </w:rPr>
        <w:lastRenderedPageBreak/>
        <w:t>immune to HIV, as HSCs pump out all the cells of the immune system over the course of a life.</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That group made a “half-time” </w:t>
      </w:r>
      <w:hyperlink r:id="rId6" w:history="1">
        <w:r w:rsidRPr="0012215D">
          <w:rPr>
            <w:rStyle w:val="Hyperlink"/>
            <w:rFonts w:ascii="Verdana" w:hAnsi="Verdana"/>
            <w:noProof/>
            <w:color w:val="BF3B41"/>
            <w:sz w:val="20"/>
            <w:szCs w:val="20"/>
          </w:rPr>
          <w:t>announcement</w:t>
        </w:r>
      </w:hyperlink>
      <w:r w:rsidRPr="0012215D">
        <w:rPr>
          <w:rFonts w:ascii="Verdana" w:hAnsi="Verdana"/>
          <w:noProof/>
          <w:color w:val="191919"/>
          <w:sz w:val="20"/>
          <w:szCs w:val="20"/>
        </w:rPr>
        <w:t> in early August noting that their cells, too, appear to be safe.</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Style w:val="Strong"/>
          <w:rFonts w:ascii="Verdana" w:hAnsi="Verdana"/>
          <w:noProof/>
          <w:color w:val="191919"/>
          <w:sz w:val="20"/>
          <w:szCs w:val="20"/>
        </w:rPr>
        <w:t>Harvard</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Harvard jumped in this week with a </w:t>
      </w:r>
      <w:hyperlink r:id="rId7" w:history="1">
        <w:r w:rsidRPr="0012215D">
          <w:rPr>
            <w:rStyle w:val="Emphasis"/>
            <w:rFonts w:ascii="Verdana" w:hAnsi="Verdana"/>
            <w:noProof/>
            <w:color w:val="BF3B41"/>
            <w:sz w:val="20"/>
            <w:szCs w:val="20"/>
          </w:rPr>
          <w:t>Cell Stem Cell</w:t>
        </w:r>
      </w:hyperlink>
      <w:r w:rsidRPr="0012215D">
        <w:rPr>
          <w:rFonts w:ascii="Verdana" w:hAnsi="Verdana"/>
          <w:noProof/>
          <w:color w:val="191919"/>
          <w:sz w:val="20"/>
          <w:szCs w:val="20"/>
        </w:rPr>
        <w:t> cover paper. In that paper, Harvard stem cell researchers Chad Cowan and Derek Rossi reported that altering CCR5 in stem cells using the very popular CRISPR/Cas technology— in mice— was highly efficient. Since there have been published reports of off-target effects, the team conducted an average of 3,400 sequencing passes, compared with the 50 usually done in whole-genome sequencing, to identify off-target genome sites. Off-target effects “were vanishingly small,” Cowan told </w:t>
      </w:r>
      <w:r w:rsidRPr="0012215D">
        <w:rPr>
          <w:rStyle w:val="Emphasis"/>
          <w:rFonts w:ascii="Verdana" w:hAnsi="Verdana"/>
          <w:noProof/>
          <w:color w:val="191919"/>
          <w:sz w:val="20"/>
          <w:szCs w:val="20"/>
        </w:rPr>
        <w:t>Bioscience Technology</w:t>
      </w:r>
      <w:r w:rsidRPr="0012215D">
        <w:rPr>
          <w:rFonts w:ascii="Verdana" w:hAnsi="Verdana"/>
          <w:noProof/>
          <w:color w:val="191919"/>
          <w:sz w:val="20"/>
          <w:szCs w:val="20"/>
        </w:rPr>
        <w:t>.</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Style w:val="Strong"/>
          <w:rFonts w:ascii="Verdana" w:hAnsi="Verdana"/>
          <w:noProof/>
          <w:color w:val="191919"/>
          <w:sz w:val="20"/>
          <w:szCs w:val="20"/>
        </w:rPr>
        <w:t>Talking to the researchers: differences in outcomes</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It is still early days, but researchers with all three groups pointed out a few differences between them. Calimmune's Baltimore noted that “the Harvard paper is a very obvious extension of technology already in use by Sangamo. [But Harvard’s] CRISPR is easier and more efficient. Sangamo used older Zinc finger technology. Either method is conceptually similar to what we are doing with vectors.”</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June --who is, again, working with Sangamo's ZFNs--told </w:t>
      </w:r>
      <w:r w:rsidRPr="0012215D">
        <w:rPr>
          <w:rStyle w:val="Emphasis"/>
          <w:rFonts w:ascii="Verdana" w:hAnsi="Verdana"/>
          <w:noProof/>
          <w:color w:val="191919"/>
          <w:sz w:val="20"/>
          <w:szCs w:val="20"/>
        </w:rPr>
        <w:t>Bioscience Technology</w:t>
      </w:r>
      <w:r w:rsidRPr="0012215D">
        <w:rPr>
          <w:rFonts w:ascii="Verdana" w:hAnsi="Verdana"/>
          <w:noProof/>
          <w:color w:val="191919"/>
          <w:sz w:val="20"/>
          <w:szCs w:val="20"/>
        </w:rPr>
        <w:t> that “it looks like [Harvard's] CRISPR is more efficient than ZFN in CD34 HSC. However, the rates of [gene] disruption in CD4 cells look quite a bit lower than what we routinely achieve with ZFNs (often 50 percent) in CD4 cells.” June said his 50 percent figure comes from </w:t>
      </w:r>
      <w:r w:rsidRPr="0012215D">
        <w:rPr>
          <w:rStyle w:val="Emphasis"/>
          <w:rFonts w:ascii="Verdana" w:hAnsi="Verdana"/>
          <w:noProof/>
          <w:color w:val="191919"/>
          <w:sz w:val="20"/>
          <w:szCs w:val="20"/>
        </w:rPr>
        <w:t>in vitro</w:t>
      </w:r>
      <w:r w:rsidRPr="0012215D">
        <w:rPr>
          <w:rFonts w:ascii="Verdana" w:hAnsi="Verdana"/>
          <w:noProof/>
          <w:color w:val="191919"/>
          <w:sz w:val="20"/>
          <w:szCs w:val="20"/>
        </w:rPr>
        <w:t> manufacturing data and “our other </w:t>
      </w:r>
      <w:hyperlink r:id="rId8" w:history="1">
        <w:r w:rsidRPr="0012215D">
          <w:rPr>
            <w:rStyle w:val="Hyperlink"/>
            <w:rFonts w:ascii="Verdana" w:hAnsi="Verdana"/>
            <w:noProof/>
            <w:color w:val="BF3B41"/>
            <w:sz w:val="20"/>
            <w:szCs w:val="20"/>
          </w:rPr>
          <w:t>preclinical</w:t>
        </w:r>
      </w:hyperlink>
      <w:r w:rsidRPr="0012215D">
        <w:rPr>
          <w:rFonts w:ascii="Verdana" w:hAnsi="Verdana"/>
          <w:noProof/>
          <w:color w:val="191919"/>
          <w:sz w:val="20"/>
          <w:szCs w:val="20"/>
        </w:rPr>
        <w:t> papers.”</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June added he was unsure if the difference in disruption rate was due to “difference in cell lineage or in technique.”</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Cowan noted that in the human </w:t>
      </w:r>
      <w:r w:rsidRPr="0012215D">
        <w:rPr>
          <w:rStyle w:val="Emphasis"/>
          <w:rFonts w:ascii="Verdana" w:hAnsi="Verdana"/>
          <w:noProof/>
          <w:color w:val="191919"/>
          <w:sz w:val="20"/>
          <w:szCs w:val="20"/>
        </w:rPr>
        <w:t>NEJM</w:t>
      </w:r>
      <w:r w:rsidRPr="0012215D">
        <w:rPr>
          <w:rFonts w:ascii="Verdana" w:hAnsi="Verdana"/>
          <w:noProof/>
          <w:color w:val="191919"/>
          <w:sz w:val="20"/>
          <w:szCs w:val="20"/>
        </w:rPr>
        <w:t> data, “Carl June and colleagues reported they identified mutations in 11 to 28 percent of CD4 T cells, and they did not find any homozygous null mutations (T cells that had both copies of the gene deleted).” He told </w:t>
      </w:r>
      <w:r w:rsidRPr="0012215D">
        <w:rPr>
          <w:rStyle w:val="Emphasis"/>
          <w:rFonts w:ascii="Verdana" w:hAnsi="Verdana"/>
          <w:noProof/>
          <w:color w:val="191919"/>
          <w:sz w:val="20"/>
          <w:szCs w:val="20"/>
        </w:rPr>
        <w:t>Bioscience Technology</w:t>
      </w:r>
      <w:r w:rsidRPr="0012215D">
        <w:rPr>
          <w:rFonts w:ascii="Verdana" w:hAnsi="Verdana"/>
          <w:noProof/>
          <w:color w:val="191919"/>
          <w:sz w:val="20"/>
          <w:szCs w:val="20"/>
        </w:rPr>
        <w:t> that his group by contrast— in mice</w:t>
      </w:r>
      <w:r w:rsidRPr="0012215D">
        <w:rPr>
          <w:rFonts w:ascii="Verdana" w:hAnsi="Verdana"/>
          <w:noProof/>
          <w:color w:val="191919"/>
          <w:sz w:val="20"/>
          <w:szCs w:val="20"/>
        </w:rPr>
        <w:softHyphen/>
        <w:t>— “report on average 30 percent homozygous gene deletion, and over 50 percent of cells carrying mutations in the gene.”</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He added: “According to our results, it does appear less [effective] to perform genome editing in T cells as compared to cultured human cell lines, or even HSCs.”</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lastRenderedPageBreak/>
        <w:t>Cowan also contended that, while “Calimmune's approach seems very encouraging,” it has “one major drawback compared to our study.”</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“As they deliver the hairpin via lentiviral vectors, it means that every cell has at least one unwanted mutation (the viral integration site which is random, and has previously been found to cause cancer in early gene therapy trials),” he said. Lentiviral vectors integrate into the genome. "As [Calimmune] often transplants 10 million (or more) cells into patients, it means these cells have 10 million mutations. Our approach had a vanishingly small off-target mutation rate, not measurable for most guide RNAs used, and a frequency of 36 out of 5,963 for the one guide which had any off-target mutations.”</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Baltimore responded firmly with a “Nonsense…Unless they sequenced the entire genome of many clones, they cannot know the mutation rate.” He added that “‘vanishingly small’ is not zero. [And] there is wide experience with lenti-vectors, and no cancer-inducing mutations due to integration sites.”</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Baltimore concluded: “The efficiency of the process should not be the determining factor because the virus should act as a selective force to select for protected CD4 cells. I am not sure which is the most efficient system.”</w:t>
      </w:r>
    </w:p>
    <w:p w:rsidR="009A3348" w:rsidRPr="0012215D" w:rsidRDefault="009A3348" w:rsidP="009A3348">
      <w:pPr>
        <w:pStyle w:val="NormalWeb"/>
        <w:shd w:val="clear" w:color="auto" w:fill="FFFFFF"/>
        <w:spacing w:before="0" w:beforeAutospacing="0" w:after="360" w:afterAutospacing="0" w:line="293" w:lineRule="atLeast"/>
        <w:rPr>
          <w:rFonts w:ascii="Verdana" w:hAnsi="Verdana"/>
          <w:noProof/>
          <w:color w:val="191919"/>
          <w:sz w:val="20"/>
          <w:szCs w:val="20"/>
        </w:rPr>
      </w:pPr>
      <w:r w:rsidRPr="0012215D">
        <w:rPr>
          <w:rFonts w:ascii="Verdana" w:hAnsi="Verdana"/>
          <w:noProof/>
          <w:color w:val="191919"/>
          <w:sz w:val="20"/>
          <w:szCs w:val="20"/>
        </w:rPr>
        <w:t>Harvard may apply for FDA clinical trial approval in five years.</w:t>
      </w:r>
    </w:p>
    <w:p w:rsidR="009A3348" w:rsidRPr="0012215D" w:rsidRDefault="009A3348">
      <w:pPr>
        <w:rPr>
          <w:noProof/>
        </w:rPr>
      </w:pPr>
    </w:p>
    <w:sectPr w:rsidR="009A3348" w:rsidRPr="0012215D" w:rsidSect="003A3B7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KCBaJefhwnc3XBkrp7yg3kgPXE=" w:salt="7TkIcntNjqrKmR/bVNDQPw=="/>
  <w:defaultTabStop w:val="720"/>
  <w:characterSpacingControl w:val="doNotCompress"/>
  <w:compat>
    <w:useFELayout/>
  </w:compat>
  <w:rsids>
    <w:rsidRoot w:val="009A3348"/>
    <w:rsid w:val="0012215D"/>
    <w:rsid w:val="001328EB"/>
    <w:rsid w:val="003A3B71"/>
    <w:rsid w:val="009A3348"/>
    <w:rsid w:val="00A50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71"/>
  </w:style>
  <w:style w:type="paragraph" w:styleId="Heading1">
    <w:name w:val="heading 1"/>
    <w:basedOn w:val="Normal"/>
    <w:link w:val="Heading1Char"/>
    <w:uiPriority w:val="9"/>
    <w:qFormat/>
    <w:rsid w:val="009A3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3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33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3348"/>
    <w:rPr>
      <w:i/>
      <w:iCs/>
    </w:rPr>
  </w:style>
  <w:style w:type="character" w:styleId="Strong">
    <w:name w:val="Strong"/>
    <w:basedOn w:val="DefaultParagraphFont"/>
    <w:uiPriority w:val="22"/>
    <w:qFormat/>
    <w:rsid w:val="009A3348"/>
    <w:rPr>
      <w:b/>
      <w:bCs/>
    </w:rPr>
  </w:style>
  <w:style w:type="character" w:styleId="Hyperlink">
    <w:name w:val="Hyperlink"/>
    <w:basedOn w:val="DefaultParagraphFont"/>
    <w:uiPriority w:val="99"/>
    <w:semiHidden/>
    <w:unhideWhenUsed/>
    <w:rsid w:val="009A3348"/>
    <w:rPr>
      <w:color w:val="0000FF"/>
      <w:u w:val="single"/>
    </w:rPr>
  </w:style>
  <w:style w:type="character" w:customStyle="1" w:styleId="image-alt-caption">
    <w:name w:val="image-alt-caption"/>
    <w:basedOn w:val="DefaultParagraphFont"/>
    <w:rsid w:val="009A3348"/>
  </w:style>
  <w:style w:type="paragraph" w:styleId="BalloonText">
    <w:name w:val="Balloon Text"/>
    <w:basedOn w:val="Normal"/>
    <w:link w:val="BalloonTextChar"/>
    <w:uiPriority w:val="99"/>
    <w:semiHidden/>
    <w:unhideWhenUsed/>
    <w:rsid w:val="009A3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9497405">
      <w:bodyDiv w:val="1"/>
      <w:marLeft w:val="0"/>
      <w:marRight w:val="0"/>
      <w:marTop w:val="0"/>
      <w:marBottom w:val="0"/>
      <w:divBdr>
        <w:top w:val="none" w:sz="0" w:space="0" w:color="auto"/>
        <w:left w:val="none" w:sz="0" w:space="0" w:color="auto"/>
        <w:bottom w:val="none" w:sz="0" w:space="0" w:color="auto"/>
        <w:right w:val="none" w:sz="0" w:space="0" w:color="auto"/>
      </w:divBdr>
    </w:div>
    <w:div w:id="12129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bt/journal/v26/n7/abs/nbt1410.html" TargetMode="External"/><Relationship Id="rId3" Type="http://schemas.openxmlformats.org/officeDocument/2006/relationships/webSettings" Target="webSettings.xml"/><Relationship Id="rId7" Type="http://schemas.openxmlformats.org/officeDocument/2006/relationships/hyperlink" Target="http://www.cell.com/cell-stem-cell/abstract/S1934-5909(14)00455-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sciencetechnology.com/blogs/2014/08/creating-new-immune-systems-hiv-patient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nejm.org/doi/full/10.1056/NEJMoa130066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1094</Words>
  <Characters>6239</Characters>
  <Application>Microsoft Office Word</Application>
  <DocSecurity>8</DocSecurity>
  <Lines>51</Lines>
  <Paragraphs>14</Paragraphs>
  <ScaleCrop>false</ScaleCrop>
  <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2014-11-13T11:42:00Z</dcterms:created>
  <dcterms:modified xsi:type="dcterms:W3CDTF">2015-02-01T06:55:00Z</dcterms:modified>
</cp:coreProperties>
</file>